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2BF" w:rsidP="4FA9E593" w:rsidRDefault="00CC72BF" w14:paraId="2D436A3C" w14:noSpellErr="1" w14:textId="3AAB8A21">
      <w:pPr>
        <w:pStyle w:val="Normal"/>
        <w:ind/>
      </w:pPr>
      <w:r w:rsidRPr="64CC936D" w:rsidR="64CC936D">
        <w:rPr>
          <w:b w:val="1"/>
          <w:bCs w:val="1"/>
        </w:rPr>
        <w:t>CUMS Ensembles 2017-18</w:t>
      </w:r>
    </w:p>
    <w:p w:rsidR="00CC72BF" w:rsidP="00CC72BF" w:rsidRDefault="00CC72BF" w14:paraId="11B37BFB" w14:noSpellErr="1" w14:textId="37239645">
      <w:r w:rsidRPr="4FA9E593" w:rsidR="4FA9E593">
        <w:rPr>
          <w:b w:val="1"/>
          <w:bCs w:val="1"/>
        </w:rPr>
        <w:t xml:space="preserve">Example </w:t>
      </w:r>
      <w:r w:rsidRPr="4FA9E593" w:rsidR="4FA9E593">
        <w:rPr>
          <w:b w:val="1"/>
          <w:bCs w:val="1"/>
        </w:rPr>
        <w:t>concert schedule for a season</w:t>
      </w:r>
    </w:p>
    <w:tbl>
      <w:tblPr>
        <w:tblStyle w:val="TableGrid"/>
        <w:tblW w:w="885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680"/>
        <w:gridCol w:w="255"/>
        <w:gridCol w:w="1785"/>
        <w:gridCol w:w="255"/>
        <w:gridCol w:w="1500"/>
        <w:gridCol w:w="255"/>
        <w:gridCol w:w="1395"/>
        <w:gridCol w:w="255"/>
        <w:gridCol w:w="1479"/>
      </w:tblGrid>
      <w:tr w:rsidRPr="00145734" w:rsidR="00CC72BF" w:rsidTr="4FA9E593" w14:paraId="7425961E" w14:textId="77777777">
        <w:tc>
          <w:tcPr>
            <w:tcW w:w="1680" w:type="dxa"/>
            <w:tcMar/>
          </w:tcPr>
          <w:p w:rsidRPr="00145734" w:rsidR="00CC72BF" w:rsidP="00255615" w:rsidRDefault="00CC72BF" w14:paraId="2DA80AC0" w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tcMar/>
          </w:tcPr>
          <w:p w:rsidRPr="00145734" w:rsidR="00CC72BF" w:rsidP="00255615" w:rsidRDefault="00CC72BF" w14:paraId="22B134EE" w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1785" w:type="dxa"/>
            <w:tcBorders>
              <w:bottom w:val="single" w:color="auto" w:sz="4" w:space="0"/>
            </w:tcBorders>
            <w:tcMar/>
          </w:tcPr>
          <w:p w:rsidRPr="00145734" w:rsidR="00CC72BF" w:rsidP="00255615" w:rsidRDefault="00CC72BF" w14:paraId="03484563" w14:textId="3F4AACBE">
            <w:pPr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tcMar/>
          </w:tcPr>
          <w:p w:rsidRPr="00145734" w:rsidR="00CC72BF" w:rsidP="00255615" w:rsidRDefault="00CC72BF" w14:paraId="069A9FEA" w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1500" w:type="dxa"/>
            <w:tcBorders>
              <w:bottom w:val="single" w:color="auto" w:sz="4" w:space="0"/>
            </w:tcBorders>
            <w:tcMar/>
          </w:tcPr>
          <w:p w:rsidRPr="00145734" w:rsidR="00CC72BF" w:rsidP="00255615" w:rsidRDefault="00CC72BF" w14:paraId="74F58948" w14:textId="3067C93A">
            <w:pPr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tcBorders>
              <w:bottom w:val="single" w:color="auto" w:sz="4" w:space="0"/>
            </w:tcBorders>
            <w:tcMar/>
          </w:tcPr>
          <w:p w:rsidRPr="00145734" w:rsidR="00CC72BF" w:rsidP="00255615" w:rsidRDefault="00CC72BF" w14:paraId="0AA0859D" w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1395" w:type="dxa"/>
            <w:tcBorders>
              <w:bottom w:val="single" w:color="auto" w:sz="4" w:space="0"/>
            </w:tcBorders>
            <w:tcMar/>
          </w:tcPr>
          <w:p w:rsidRPr="00145734" w:rsidR="00CC72BF" w:rsidP="00255615" w:rsidRDefault="00CC72BF" w14:paraId="4B3282F8" w14:textId="3355135F">
            <w:pPr>
              <w:rPr>
                <w:i/>
                <w:sz w:val="16"/>
                <w:szCs w:val="16"/>
              </w:rPr>
            </w:pPr>
          </w:p>
        </w:tc>
        <w:tc>
          <w:tcPr>
            <w:tcW w:w="255" w:type="dxa"/>
            <w:tcMar/>
          </w:tcPr>
          <w:p w:rsidRPr="00145734" w:rsidR="00CC72BF" w:rsidP="00255615" w:rsidRDefault="00CC72BF" w14:paraId="6BD74101" w14:textId="77777777">
            <w:pPr>
              <w:rPr>
                <w:i/>
                <w:sz w:val="16"/>
                <w:szCs w:val="16"/>
              </w:rPr>
            </w:pPr>
          </w:p>
        </w:tc>
        <w:tc>
          <w:tcPr>
            <w:tcW w:w="1479" w:type="dxa"/>
            <w:tcMar/>
          </w:tcPr>
          <w:p w:rsidRPr="00145734" w:rsidR="00CC72BF" w:rsidP="00255615" w:rsidRDefault="00CC72BF" w14:paraId="3BE5A632" w14:textId="30EC5FC8">
            <w:pPr>
              <w:rPr>
                <w:i/>
                <w:sz w:val="16"/>
                <w:szCs w:val="16"/>
              </w:rPr>
            </w:pPr>
          </w:p>
        </w:tc>
      </w:tr>
      <w:tr w:rsidR="00CC72BF" w:rsidTr="4FA9E593" w14:paraId="3E736A8A" w14:textId="77777777">
        <w:tc>
          <w:tcPr>
            <w:tcW w:w="1680" w:type="dxa"/>
            <w:tcMar/>
          </w:tcPr>
          <w:p w:rsidR="00CC72BF" w:rsidP="00255615" w:rsidRDefault="00CC72BF" w14:paraId="60FCE173" w14:textId="77777777">
            <w:r>
              <w:t>October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6061EFFD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28409660" w14:noSpellErr="1" w14:textId="41A1FBB3">
            <w:r w:rsidR="4FA9E593">
              <w:rPr/>
              <w:t>CUO</w:t>
            </w:r>
            <w:r w:rsidR="4FA9E593">
              <w:rPr/>
              <w:t xml:space="preserve"> </w:t>
            </w:r>
            <w:r w:rsidR="4FA9E593">
              <w:rPr/>
              <w:t>(chambe</w:t>
            </w:r>
            <w:r w:rsidR="4FA9E593">
              <w:rPr/>
              <w:t>r</w:t>
            </w:r>
            <w:r w:rsidR="4FA9E593">
              <w:rPr/>
              <w:t>)</w:t>
            </w:r>
          </w:p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50D5B611" w14:textId="77777777"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31B6982C" w14:textId="1114965D">
            <w:r>
              <w:t>CUS</w:t>
            </w:r>
            <w:r w:rsidR="00486F3D">
              <w:t xml:space="preserve"> 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44F89C56" w14:textId="77777777"/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10926C9B" w14:textId="77777777"/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5C5D3639" w14:textId="77777777"/>
        </w:tc>
        <w:tc>
          <w:tcPr>
            <w:tcW w:w="1479" w:type="dxa"/>
            <w:tcMar/>
          </w:tcPr>
          <w:p w:rsidR="00CC72BF" w:rsidP="00255615" w:rsidRDefault="00CC72BF" w14:paraId="7EF60038" w14:textId="77777777"/>
        </w:tc>
      </w:tr>
      <w:tr w:rsidR="00CC72BF" w:rsidTr="4FA9E593" w14:paraId="438F6325" w14:textId="77777777">
        <w:tc>
          <w:tcPr>
            <w:tcW w:w="1680" w:type="dxa"/>
            <w:tcMar/>
          </w:tcPr>
          <w:p w:rsidR="00CC72BF" w:rsidP="00255615" w:rsidRDefault="00CC72BF" w14:paraId="6CCB1642" w14:textId="77777777"/>
        </w:tc>
        <w:tc>
          <w:tcPr>
            <w:tcW w:w="255" w:type="dxa"/>
            <w:tcMar/>
          </w:tcPr>
          <w:p w:rsidR="00CC72BF" w:rsidP="00255615" w:rsidRDefault="00CC72BF" w14:paraId="4621D1EB" w14:textId="77777777"/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1A7F0C99" w14:textId="77777777"/>
        </w:tc>
        <w:tc>
          <w:tcPr>
            <w:tcW w:w="25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17131676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52516E47" w14:textId="77777777"/>
        </w:tc>
        <w:tc>
          <w:tcPr>
            <w:tcW w:w="255" w:type="dxa"/>
            <w:tcBorders>
              <w:top w:val="single" w:color="auto" w:sz="4" w:space="0"/>
            </w:tcBorders>
            <w:tcMar/>
          </w:tcPr>
          <w:p w:rsidR="00CC72BF" w:rsidP="00255615" w:rsidRDefault="00CC72BF" w14:paraId="19008997" w14:textId="77777777"/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44AB19A2" w14:textId="77777777"/>
        </w:tc>
        <w:tc>
          <w:tcPr>
            <w:tcW w:w="25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73032308" w14:textId="77777777"/>
        </w:tc>
        <w:tc>
          <w:tcPr>
            <w:tcW w:w="1479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5A63D92C" w14:textId="77777777"/>
        </w:tc>
      </w:tr>
      <w:tr w:rsidR="00CC72BF" w:rsidTr="4FA9E593" w14:paraId="1CDF79C8" w14:textId="77777777">
        <w:tc>
          <w:tcPr>
            <w:tcW w:w="1680" w:type="dxa"/>
            <w:tcMar/>
          </w:tcPr>
          <w:p w:rsidR="00CC72BF" w:rsidP="00255615" w:rsidRDefault="00CC72BF" w14:paraId="6EDB6D70" w14:textId="77777777">
            <w:bookmarkStart w:name="_GoBack" w:id="0"/>
            <w:bookmarkEnd w:id="0"/>
            <w:r>
              <w:t>Nov/Dec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73024A36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192757" w14:paraId="39E5E271" w14:textId="2635968F">
            <w:r>
              <w:t>CUO</w:t>
            </w:r>
            <w:r w:rsidR="00CC72BF">
              <w:t xml:space="preserve"> (</w:t>
            </w:r>
            <w:proofErr w:type="spellStart"/>
            <w:r w:rsidR="00CC72BF">
              <w:t>symph</w:t>
            </w:r>
            <w:proofErr w:type="spellEnd"/>
            <w:r w:rsidR="00CC72BF">
              <w:t>)</w:t>
            </w:r>
          </w:p>
        </w:tc>
        <w:tc>
          <w:tcPr>
            <w:tcW w:w="255" w:type="dxa"/>
            <w:tcBorders>
              <w:top w:val="single" w:color="auto" w:sz="4" w:space="0"/>
              <w:left w:val="nil"/>
              <w:bottom w:val="single" w:color="auto" w:sz="4" w:space="0"/>
            </w:tcBorders>
            <w:tcMar/>
          </w:tcPr>
          <w:p w:rsidR="00CC72BF" w:rsidP="00255615" w:rsidRDefault="00CC72BF" w14:paraId="432CE763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2CB58EBE" w14:textId="77777777"/>
        </w:tc>
        <w:tc>
          <w:tcPr>
            <w:tcW w:w="255" w:type="dxa"/>
            <w:tcBorders>
              <w:left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4C31D754" w14:textId="77777777"/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192757" w14:paraId="2F1E9638" w14:textId="2B01A487">
            <w:r>
              <w:t>CUS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4375C0FA" w14:textId="77777777"/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17792079" w14:textId="77777777"/>
        </w:tc>
      </w:tr>
      <w:tr w:rsidR="00CC72BF" w:rsidTr="4FA9E593" w14:paraId="454CFCB8" w14:textId="77777777">
        <w:tc>
          <w:tcPr>
            <w:tcW w:w="1680" w:type="dxa"/>
            <w:tcMar/>
          </w:tcPr>
          <w:p w:rsidR="00CC72BF" w:rsidP="00255615" w:rsidRDefault="00CC72BF" w14:paraId="444FAD7F" w14:textId="77777777"/>
        </w:tc>
        <w:tc>
          <w:tcPr>
            <w:tcW w:w="255" w:type="dxa"/>
            <w:tcMar/>
          </w:tcPr>
          <w:p w:rsidR="00CC72BF" w:rsidP="00255615" w:rsidRDefault="00CC72BF" w14:paraId="3FBFB1AF" w14:textId="77777777"/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38106A88" w14:textId="77777777"/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68D3A2B8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1A165958" w14:textId="77777777"/>
        </w:tc>
        <w:tc>
          <w:tcPr>
            <w:tcW w:w="255" w:type="dxa"/>
            <w:tcMar/>
          </w:tcPr>
          <w:p w:rsidR="00CC72BF" w:rsidP="00255615" w:rsidRDefault="00CC72BF" w14:paraId="666E390B" w14:textId="77777777"/>
        </w:tc>
        <w:tc>
          <w:tcPr>
            <w:tcW w:w="1395" w:type="dxa"/>
            <w:tcBorders>
              <w:top w:val="single" w:color="auto" w:sz="4" w:space="0"/>
            </w:tcBorders>
            <w:tcMar/>
          </w:tcPr>
          <w:p w:rsidR="00CC72BF" w:rsidP="00255615" w:rsidRDefault="00CC72BF" w14:paraId="2D8F3E0E" w14:textId="77777777"/>
        </w:tc>
        <w:tc>
          <w:tcPr>
            <w:tcW w:w="255" w:type="dxa"/>
            <w:tcBorders>
              <w:top w:val="single" w:color="auto" w:sz="4" w:space="0"/>
            </w:tcBorders>
            <w:tcMar/>
          </w:tcPr>
          <w:p w:rsidR="00CC72BF" w:rsidP="00255615" w:rsidRDefault="00CC72BF" w14:paraId="6B4C5781" w14:textId="77777777"/>
        </w:tc>
        <w:tc>
          <w:tcPr>
            <w:tcW w:w="1479" w:type="dxa"/>
            <w:tcBorders>
              <w:top w:val="single" w:color="auto" w:sz="4" w:space="0"/>
            </w:tcBorders>
            <w:tcMar/>
          </w:tcPr>
          <w:p w:rsidR="00CC72BF" w:rsidP="00255615" w:rsidRDefault="00CC72BF" w14:paraId="6AC5E772" w14:textId="77777777"/>
        </w:tc>
      </w:tr>
      <w:tr w:rsidR="00CC72BF" w:rsidTr="4FA9E593" w14:paraId="6817567F" w14:textId="77777777">
        <w:tc>
          <w:tcPr>
            <w:tcW w:w="1680" w:type="dxa"/>
            <w:tcMar/>
          </w:tcPr>
          <w:p w:rsidR="00CC72BF" w:rsidP="00255615" w:rsidRDefault="00CC72BF" w14:paraId="358805DF" w14:textId="77777777">
            <w:r>
              <w:t>Jan (King’s)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3E560C7C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707602" w14:paraId="0629CE09" w14:textId="77F26D9A">
            <w:r>
              <w:t>CUO</w:t>
            </w:r>
            <w:r w:rsidR="00CC72BF">
              <w:t xml:space="preserve"> (</w:t>
            </w:r>
            <w:proofErr w:type="spellStart"/>
            <w:r w:rsidR="00CC72BF">
              <w:t>symph</w:t>
            </w:r>
            <w:proofErr w:type="spellEnd"/>
            <w:r w:rsidR="00CC72BF">
              <w:t>)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0CD1F2B5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6D58CF82" w14:textId="77777777"/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031DB28E" w14:textId="77777777"/>
        </w:tc>
        <w:tc>
          <w:tcPr>
            <w:tcW w:w="1395" w:type="dxa"/>
            <w:tcMar/>
          </w:tcPr>
          <w:p w:rsidR="00CC72BF" w:rsidP="00255615" w:rsidRDefault="00CC72BF" w14:paraId="25579CAC" w14:textId="77777777"/>
        </w:tc>
        <w:tc>
          <w:tcPr>
            <w:tcW w:w="255" w:type="dxa"/>
            <w:tcBorders>
              <w:left w:val="nil"/>
            </w:tcBorders>
            <w:tcMar/>
          </w:tcPr>
          <w:p w:rsidR="00CC72BF" w:rsidP="00255615" w:rsidRDefault="00CC72BF" w14:paraId="2D2236F9" w14:textId="77777777"/>
        </w:tc>
        <w:tc>
          <w:tcPr>
            <w:tcW w:w="1479" w:type="dxa"/>
            <w:tcMar/>
          </w:tcPr>
          <w:p w:rsidR="00CC72BF" w:rsidP="00255615" w:rsidRDefault="00CC72BF" w14:paraId="14A3B9B0" w14:textId="77777777"/>
        </w:tc>
      </w:tr>
      <w:tr w:rsidR="00CC72BF" w:rsidTr="4FA9E593" w14:paraId="3691F99E" w14:textId="77777777">
        <w:tc>
          <w:tcPr>
            <w:tcW w:w="1680" w:type="dxa"/>
            <w:tcMar/>
          </w:tcPr>
          <w:p w:rsidR="00CC72BF" w:rsidP="00255615" w:rsidRDefault="00CC72BF" w14:paraId="625E43DD" w14:textId="77777777"/>
        </w:tc>
        <w:tc>
          <w:tcPr>
            <w:tcW w:w="255" w:type="dxa"/>
            <w:tcMar/>
          </w:tcPr>
          <w:p w:rsidR="00CC72BF" w:rsidP="00255615" w:rsidRDefault="00CC72BF" w14:paraId="555E6D8B" w14:textId="77777777"/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229D5BCB" w14:textId="77777777"/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09D73C9D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213CF98D" w14:textId="77777777"/>
        </w:tc>
        <w:tc>
          <w:tcPr>
            <w:tcW w:w="255" w:type="dxa"/>
            <w:tcMar/>
          </w:tcPr>
          <w:p w:rsidR="00CC72BF" w:rsidP="00255615" w:rsidRDefault="00CC72BF" w14:paraId="3B3E57A3" w14:textId="77777777"/>
        </w:tc>
        <w:tc>
          <w:tcPr>
            <w:tcW w:w="1395" w:type="dxa"/>
            <w:tcMar/>
          </w:tcPr>
          <w:p w:rsidR="00CC72BF" w:rsidP="00255615" w:rsidRDefault="00CC72BF" w14:paraId="61B4D1A5" w14:textId="77777777"/>
        </w:tc>
        <w:tc>
          <w:tcPr>
            <w:tcW w:w="255" w:type="dxa"/>
            <w:tcMar/>
          </w:tcPr>
          <w:p w:rsidR="00CC72BF" w:rsidP="00255615" w:rsidRDefault="00CC72BF" w14:paraId="70DB8114" w14:textId="77777777"/>
        </w:tc>
        <w:tc>
          <w:tcPr>
            <w:tcW w:w="1479" w:type="dxa"/>
            <w:tcMar/>
          </w:tcPr>
          <w:p w:rsidR="00CC72BF" w:rsidP="00255615" w:rsidRDefault="00CC72BF" w14:paraId="2FF3C9D0" w14:textId="77777777"/>
        </w:tc>
      </w:tr>
      <w:tr w:rsidR="00CC72BF" w:rsidTr="4FA9E593" w14:paraId="10F9955F" w14:textId="77777777">
        <w:tc>
          <w:tcPr>
            <w:tcW w:w="1680" w:type="dxa"/>
            <w:tcMar/>
          </w:tcPr>
          <w:p w:rsidR="00CC72BF" w:rsidP="00255615" w:rsidRDefault="00CC72BF" w14:paraId="19220010" w14:textId="77777777">
            <w:r>
              <w:t>Feb/Mar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48691B3C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707602" w14:paraId="0346BA32" w14:textId="285FE706">
            <w:r>
              <w:t xml:space="preserve">CUO </w:t>
            </w:r>
            <w:r w:rsidR="00CC72BF">
              <w:t>(</w:t>
            </w:r>
            <w:proofErr w:type="spellStart"/>
            <w:r w:rsidR="00CC72BF">
              <w:t>symph</w:t>
            </w:r>
            <w:proofErr w:type="spellEnd"/>
            <w:r w:rsidR="00CC72BF">
              <w:t>)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4B61CB22" w14:textId="77777777"/>
        </w:tc>
        <w:tc>
          <w:tcPr>
            <w:tcW w:w="150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01BAAF53" w14:textId="77777777"/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71E4B0B5" w14:textId="77777777"/>
        </w:tc>
        <w:tc>
          <w:tcPr>
            <w:tcW w:w="1395" w:type="dxa"/>
            <w:tcMar/>
          </w:tcPr>
          <w:p w:rsidR="00CC72BF" w:rsidP="00255615" w:rsidRDefault="00CC72BF" w14:paraId="6D5BFA60" w14:textId="77777777"/>
        </w:tc>
        <w:tc>
          <w:tcPr>
            <w:tcW w:w="255" w:type="dxa"/>
            <w:tcMar/>
          </w:tcPr>
          <w:p w:rsidR="00CC72BF" w:rsidP="00255615" w:rsidRDefault="00CC72BF" w14:paraId="7CA137EC" w14:textId="77777777"/>
        </w:tc>
        <w:tc>
          <w:tcPr>
            <w:tcW w:w="1479" w:type="dxa"/>
            <w:tcMar/>
          </w:tcPr>
          <w:p w:rsidR="00CC72BF" w:rsidP="00255615" w:rsidRDefault="00CC72BF" w14:paraId="4FEB4D19" w14:textId="77777777"/>
        </w:tc>
      </w:tr>
      <w:tr w:rsidR="00CC72BF" w:rsidTr="4FA9E593" w14:paraId="1F298296" w14:textId="77777777">
        <w:tc>
          <w:tcPr>
            <w:tcW w:w="1680" w:type="dxa"/>
            <w:tcMar/>
          </w:tcPr>
          <w:p w:rsidR="00CC72BF" w:rsidP="00255615" w:rsidRDefault="00CC72BF" w14:paraId="51E41675" w14:textId="77777777"/>
        </w:tc>
        <w:tc>
          <w:tcPr>
            <w:tcW w:w="255" w:type="dxa"/>
            <w:tcMar/>
          </w:tcPr>
          <w:p w:rsidR="00CC72BF" w:rsidP="00255615" w:rsidRDefault="00CC72BF" w14:paraId="363E6224" w14:textId="77777777"/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1247DE8A" w14:textId="77777777"/>
        </w:tc>
        <w:tc>
          <w:tcPr>
            <w:tcW w:w="255" w:type="dxa"/>
            <w:tcBorders>
              <w:top w:val="single" w:color="auto" w:sz="4" w:space="0"/>
            </w:tcBorders>
            <w:tcMar/>
          </w:tcPr>
          <w:p w:rsidR="00CC72BF" w:rsidP="00255615" w:rsidRDefault="00CC72BF" w14:paraId="6A311757" w14:textId="77777777"/>
        </w:tc>
        <w:tc>
          <w:tcPr>
            <w:tcW w:w="1500" w:type="dxa"/>
            <w:tcBorders>
              <w:top w:val="single" w:color="auto" w:sz="4" w:space="0"/>
            </w:tcBorders>
            <w:tcMar/>
          </w:tcPr>
          <w:p w:rsidR="00CC72BF" w:rsidP="00255615" w:rsidRDefault="00CC72BF" w14:paraId="7859622F" w14:textId="77777777"/>
        </w:tc>
        <w:tc>
          <w:tcPr>
            <w:tcW w:w="255" w:type="dxa"/>
            <w:tcMar/>
          </w:tcPr>
          <w:p w:rsidR="00CC72BF" w:rsidP="00255615" w:rsidRDefault="00CC72BF" w14:paraId="18188F66" w14:textId="77777777"/>
        </w:tc>
        <w:tc>
          <w:tcPr>
            <w:tcW w:w="139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01420C4F" w14:textId="77777777"/>
        </w:tc>
        <w:tc>
          <w:tcPr>
            <w:tcW w:w="25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5DDED46A" w14:textId="77777777"/>
        </w:tc>
        <w:tc>
          <w:tcPr>
            <w:tcW w:w="1479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4887DCAC" w14:textId="77777777"/>
        </w:tc>
      </w:tr>
      <w:tr w:rsidR="00CC72BF" w:rsidTr="4FA9E593" w14:paraId="53156F15" w14:textId="77777777">
        <w:tc>
          <w:tcPr>
            <w:tcW w:w="1680" w:type="dxa"/>
            <w:tcMar/>
          </w:tcPr>
          <w:p w:rsidR="00CC72BF" w:rsidP="00255615" w:rsidRDefault="00CC72BF" w14:paraId="16836EA4" w14:textId="77777777">
            <w:r>
              <w:t>Mar (</w:t>
            </w:r>
            <w:proofErr w:type="spellStart"/>
            <w:r>
              <w:t>Foundtn</w:t>
            </w:r>
            <w:proofErr w:type="spellEnd"/>
            <w:r>
              <w:t>)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4B383B41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707602" w14:paraId="474616DD" w14:textId="726123D9">
            <w:r>
              <w:t>CUO</w:t>
            </w:r>
            <w:r w:rsidR="00CC72BF">
              <w:t xml:space="preserve"> (chamber)</w:t>
            </w:r>
          </w:p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66E7E57D" w14:textId="77777777"/>
        </w:tc>
        <w:tc>
          <w:tcPr>
            <w:tcW w:w="1500" w:type="dxa"/>
            <w:tcMar/>
          </w:tcPr>
          <w:p w:rsidR="00CC72BF" w:rsidP="00255615" w:rsidRDefault="00CC72BF" w14:paraId="695BD801" w14:textId="77777777"/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037A9847" w14:textId="77777777"/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707602" w14:paraId="11307D37" w14:textId="5C4F87FB">
            <w:r>
              <w:t>CUS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0C405AE9" w14:textId="77777777"/>
        </w:tc>
        <w:tc>
          <w:tcPr>
            <w:tcW w:w="147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1BEC4B67" w14:textId="77777777"/>
        </w:tc>
      </w:tr>
      <w:tr w:rsidR="00CC72BF" w:rsidTr="4FA9E593" w14:paraId="4DA9AEC4" w14:textId="77777777">
        <w:tc>
          <w:tcPr>
            <w:tcW w:w="1680" w:type="dxa"/>
            <w:tcMar/>
          </w:tcPr>
          <w:p w:rsidR="00CC72BF" w:rsidP="00255615" w:rsidRDefault="00CC72BF" w14:paraId="78534919" w14:textId="77777777"/>
        </w:tc>
        <w:tc>
          <w:tcPr>
            <w:tcW w:w="255" w:type="dxa"/>
            <w:tcMar/>
          </w:tcPr>
          <w:p w:rsidR="00CC72BF" w:rsidP="00255615" w:rsidRDefault="00CC72BF" w14:paraId="2E28476F" w14:textId="77777777"/>
        </w:tc>
        <w:tc>
          <w:tcPr>
            <w:tcW w:w="178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5A4930D5" w14:textId="77777777"/>
        </w:tc>
        <w:tc>
          <w:tcPr>
            <w:tcW w:w="255" w:type="dxa"/>
            <w:tcMar/>
          </w:tcPr>
          <w:p w:rsidR="00CC72BF" w:rsidP="00255615" w:rsidRDefault="00CC72BF" w14:paraId="44E34E78" w14:textId="77777777"/>
        </w:tc>
        <w:tc>
          <w:tcPr>
            <w:tcW w:w="1500" w:type="dxa"/>
            <w:tcMar/>
          </w:tcPr>
          <w:p w:rsidR="00CC72BF" w:rsidP="00255615" w:rsidRDefault="00CC72BF" w14:paraId="5F462B6E" w14:textId="77777777"/>
        </w:tc>
        <w:tc>
          <w:tcPr>
            <w:tcW w:w="255" w:type="dxa"/>
            <w:tcMar/>
          </w:tcPr>
          <w:p w:rsidR="00CC72BF" w:rsidP="00255615" w:rsidRDefault="00CC72BF" w14:paraId="21FD1300" w14:textId="77777777"/>
        </w:tc>
        <w:tc>
          <w:tcPr>
            <w:tcW w:w="1395" w:type="dxa"/>
            <w:tcBorders>
              <w:top w:val="single" w:color="auto" w:sz="4" w:space="0"/>
            </w:tcBorders>
            <w:tcMar/>
          </w:tcPr>
          <w:p w:rsidR="00CC72BF" w:rsidP="00255615" w:rsidRDefault="00CC72BF" w14:paraId="04CE9A08" w14:textId="77777777"/>
        </w:tc>
        <w:tc>
          <w:tcPr>
            <w:tcW w:w="255" w:type="dxa"/>
            <w:tcBorders>
              <w:top w:val="single" w:color="auto" w:sz="4" w:space="0"/>
            </w:tcBorders>
            <w:tcMar/>
          </w:tcPr>
          <w:p w:rsidR="00CC72BF" w:rsidP="00255615" w:rsidRDefault="00CC72BF" w14:paraId="04F7CCC6" w14:textId="77777777"/>
        </w:tc>
        <w:tc>
          <w:tcPr>
            <w:tcW w:w="1479" w:type="dxa"/>
            <w:tcBorders>
              <w:top w:val="single" w:color="auto" w:sz="4" w:space="0"/>
            </w:tcBorders>
            <w:tcMar/>
          </w:tcPr>
          <w:p w:rsidR="00CC72BF" w:rsidP="00255615" w:rsidRDefault="00CC72BF" w14:paraId="31776D52" w14:textId="77777777"/>
        </w:tc>
      </w:tr>
      <w:tr w:rsidR="00CC72BF" w:rsidTr="4FA9E593" w14:paraId="2734E151" w14:textId="77777777">
        <w:tc>
          <w:tcPr>
            <w:tcW w:w="1680" w:type="dxa"/>
            <w:tcMar/>
          </w:tcPr>
          <w:p w:rsidR="00CC72BF" w:rsidP="00255615" w:rsidRDefault="00CC72BF" w14:paraId="01A27617" w14:textId="77777777">
            <w:r>
              <w:t>May</w:t>
            </w:r>
          </w:p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5098FE83" w14:textId="77777777"/>
        </w:tc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707602" w14:paraId="1868BD3D" w14:textId="7B9104C7">
            <w:r>
              <w:t>CUO</w:t>
            </w:r>
            <w:r w:rsidR="00CC72BF">
              <w:t xml:space="preserve"> (chamber)</w:t>
            </w:r>
          </w:p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05307D58" w14:textId="77777777"/>
        </w:tc>
        <w:tc>
          <w:tcPr>
            <w:tcW w:w="1500" w:type="dxa"/>
            <w:tcMar/>
          </w:tcPr>
          <w:p w:rsidR="00CC72BF" w:rsidP="00255615" w:rsidRDefault="00CC72BF" w14:paraId="30454494" w14:textId="77777777"/>
        </w:tc>
        <w:tc>
          <w:tcPr>
            <w:tcW w:w="255" w:type="dxa"/>
            <w:tcMar/>
          </w:tcPr>
          <w:p w:rsidR="00CC72BF" w:rsidP="00255615" w:rsidRDefault="00CC72BF" w14:paraId="6C64B0AA" w14:textId="77777777"/>
        </w:tc>
        <w:tc>
          <w:tcPr>
            <w:tcW w:w="1395" w:type="dxa"/>
            <w:tcMar/>
          </w:tcPr>
          <w:p w:rsidR="00CC72BF" w:rsidP="00255615" w:rsidRDefault="00CC72BF" w14:paraId="6DDA4DDC" w14:textId="77777777"/>
        </w:tc>
        <w:tc>
          <w:tcPr>
            <w:tcW w:w="255" w:type="dxa"/>
            <w:tcMar/>
          </w:tcPr>
          <w:p w:rsidR="00CC72BF" w:rsidP="00255615" w:rsidRDefault="00CC72BF" w14:paraId="6AE9E489" w14:textId="77777777"/>
        </w:tc>
        <w:tc>
          <w:tcPr>
            <w:tcW w:w="1479" w:type="dxa"/>
            <w:tcMar/>
          </w:tcPr>
          <w:p w:rsidR="00CC72BF" w:rsidP="00255615" w:rsidRDefault="00CC72BF" w14:paraId="29F1401A" w14:textId="77777777"/>
        </w:tc>
      </w:tr>
      <w:tr w:rsidR="00CC72BF" w:rsidTr="4FA9E593" w14:paraId="7FBDC20B" w14:textId="77777777">
        <w:tc>
          <w:tcPr>
            <w:tcW w:w="1680" w:type="dxa"/>
            <w:tcMar/>
          </w:tcPr>
          <w:p w:rsidR="00CC72BF" w:rsidP="00255615" w:rsidRDefault="00CC72BF" w14:paraId="32B498EC" w14:textId="77777777"/>
        </w:tc>
        <w:tc>
          <w:tcPr>
            <w:tcW w:w="255" w:type="dxa"/>
            <w:tcMar/>
          </w:tcPr>
          <w:p w:rsidR="00CC72BF" w:rsidP="00255615" w:rsidRDefault="00CC72BF" w14:paraId="555B6DED" w14:textId="77777777"/>
        </w:tc>
        <w:tc>
          <w:tcPr>
            <w:tcW w:w="1785" w:type="dxa"/>
            <w:tcBorders>
              <w:top w:val="single" w:color="auto" w:sz="4" w:space="0"/>
            </w:tcBorders>
            <w:tcMar/>
          </w:tcPr>
          <w:p w:rsidR="00CC72BF" w:rsidP="00255615" w:rsidRDefault="00CC72BF" w14:paraId="2F94EEEC" w14:textId="77777777"/>
        </w:tc>
        <w:tc>
          <w:tcPr>
            <w:tcW w:w="255" w:type="dxa"/>
            <w:tcMar/>
          </w:tcPr>
          <w:p w:rsidR="00CC72BF" w:rsidP="00255615" w:rsidRDefault="00CC72BF" w14:paraId="7F9E94B2" w14:textId="77777777"/>
        </w:tc>
        <w:tc>
          <w:tcPr>
            <w:tcW w:w="1500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01BB5D04" w14:textId="77777777"/>
        </w:tc>
        <w:tc>
          <w:tcPr>
            <w:tcW w:w="25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0BEC08BF" w14:textId="77777777"/>
        </w:tc>
        <w:tc>
          <w:tcPr>
            <w:tcW w:w="1395" w:type="dxa"/>
            <w:tcBorders>
              <w:bottom w:val="single" w:color="auto" w:sz="4" w:space="0"/>
            </w:tcBorders>
            <w:tcMar/>
          </w:tcPr>
          <w:p w:rsidR="00CC72BF" w:rsidP="00255615" w:rsidRDefault="00CC72BF" w14:paraId="791833E5" w14:textId="77777777"/>
        </w:tc>
        <w:tc>
          <w:tcPr>
            <w:tcW w:w="255" w:type="dxa"/>
            <w:tcMar/>
          </w:tcPr>
          <w:p w:rsidR="00CC72BF" w:rsidP="00255615" w:rsidRDefault="00CC72BF" w14:paraId="308BC4FB" w14:textId="77777777"/>
        </w:tc>
        <w:tc>
          <w:tcPr>
            <w:tcW w:w="1479" w:type="dxa"/>
            <w:tcMar/>
          </w:tcPr>
          <w:p w:rsidR="00CC72BF" w:rsidP="00255615" w:rsidRDefault="00CC72BF" w14:paraId="7D1091FE" w14:textId="77777777"/>
        </w:tc>
      </w:tr>
      <w:tr w:rsidR="00CC72BF" w:rsidTr="4FA9E593" w14:paraId="05A63B41" w14:textId="77777777">
        <w:tc>
          <w:tcPr>
            <w:tcW w:w="1680" w:type="dxa"/>
            <w:tcMar/>
          </w:tcPr>
          <w:p w:rsidR="00CC72BF" w:rsidP="00255615" w:rsidRDefault="00CC72BF" w14:paraId="2DCA1B1B" w14:textId="77777777">
            <w:r>
              <w:t xml:space="preserve">June (May </w:t>
            </w:r>
            <w:proofErr w:type="spellStart"/>
            <w:r>
              <w:t>wk</w:t>
            </w:r>
            <w:proofErr w:type="spellEnd"/>
            <w:r>
              <w:t>)</w:t>
            </w:r>
          </w:p>
        </w:tc>
        <w:tc>
          <w:tcPr>
            <w:tcW w:w="255" w:type="dxa"/>
            <w:tcMar/>
          </w:tcPr>
          <w:p w:rsidR="00CC72BF" w:rsidP="00255615" w:rsidRDefault="00CC72BF" w14:paraId="3D7E9F12" w14:textId="77777777"/>
        </w:tc>
        <w:tc>
          <w:tcPr>
            <w:tcW w:w="1785" w:type="dxa"/>
            <w:tcMar/>
          </w:tcPr>
          <w:p w:rsidR="00CC72BF" w:rsidP="00255615" w:rsidRDefault="00CC72BF" w14:paraId="3DA93B39" w14:textId="77777777"/>
        </w:tc>
        <w:tc>
          <w:tcPr>
            <w:tcW w:w="255" w:type="dxa"/>
            <w:tcBorders>
              <w:right w:val="single" w:color="auto" w:sz="4" w:space="0"/>
            </w:tcBorders>
            <w:tcMar/>
          </w:tcPr>
          <w:p w:rsidR="00CC72BF" w:rsidP="00255615" w:rsidRDefault="00CC72BF" w14:paraId="2051D0B3" w14:textId="77777777"/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tcMar/>
          </w:tcPr>
          <w:p w:rsidR="00CC72BF" w:rsidP="00255615" w:rsidRDefault="00486F3D" w14:paraId="7DC03871" w14:textId="499A8FE4">
            <w:r>
              <w:t xml:space="preserve">CUS </w:t>
            </w:r>
          </w:p>
        </w:tc>
        <w:tc>
          <w:tcPr>
            <w:tcW w:w="255" w:type="dxa"/>
            <w:tcBorders>
              <w:top w:val="single" w:color="auto" w:sz="4" w:space="0"/>
              <w:bottom w:val="single" w:color="auto" w:sz="4" w:space="0"/>
            </w:tcBorders>
            <w:tcMar/>
          </w:tcPr>
          <w:p w:rsidR="00CC72BF" w:rsidP="00255615" w:rsidRDefault="00CC72BF" w14:paraId="524249F3" w14:textId="77777777"/>
        </w:tc>
        <w:tc>
          <w:tcPr>
            <w:tcW w:w="13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="00CC72BF" w:rsidP="00255615" w:rsidRDefault="00CC72BF" w14:paraId="541BD5B4" w14:textId="77777777"/>
        </w:tc>
        <w:tc>
          <w:tcPr>
            <w:tcW w:w="255" w:type="dxa"/>
            <w:tcBorders>
              <w:left w:val="single" w:color="auto" w:sz="4" w:space="0"/>
            </w:tcBorders>
            <w:tcMar/>
          </w:tcPr>
          <w:p w:rsidR="00CC72BF" w:rsidP="00255615" w:rsidRDefault="00CC72BF" w14:paraId="4AE23FD8" w14:textId="77777777"/>
        </w:tc>
        <w:tc>
          <w:tcPr>
            <w:tcW w:w="1479" w:type="dxa"/>
            <w:tcMar/>
          </w:tcPr>
          <w:p w:rsidR="00CC72BF" w:rsidP="00255615" w:rsidRDefault="00CC72BF" w14:paraId="64B8190F" w14:textId="77777777"/>
        </w:tc>
      </w:tr>
    </w:tbl>
    <w:p w:rsidR="00CC72BF" w:rsidP="00CC72BF" w:rsidRDefault="00CC72BF" w14:paraId="553BE82E" w14:textId="77777777"/>
    <w:p w:rsidR="00486F3D" w:rsidP="00CC72BF" w:rsidRDefault="00486F3D" w14:paraId="5DD9387D" w14:textId="77777777"/>
    <w:p w:rsidR="00CC72BF" w:rsidP="00CC72BF" w:rsidRDefault="00CC72BF" w14:paraId="1B29B877" w14:textId="20262620">
      <w:pPr>
        <w:rPr>
          <w:i/>
        </w:rPr>
      </w:pPr>
      <w:r w:rsidRPr="00BA4070">
        <w:rPr>
          <w:i/>
        </w:rPr>
        <w:t>All concerts to take place on Saturdays</w:t>
      </w:r>
    </w:p>
    <w:p w:rsidR="00192757" w:rsidP="00CC72BF" w:rsidRDefault="00192757" w14:paraId="76EF40F8" w14:textId="77777777">
      <w:pPr>
        <w:rPr>
          <w:b/>
          <w:color w:val="FF0000"/>
        </w:rPr>
      </w:pPr>
    </w:p>
    <w:p w:rsidRPr="00707602" w:rsidR="00BA4070" w:rsidRDefault="00486F3D" w14:paraId="2579DF8E" w14:textId="753EE378">
      <w:pPr>
        <w:rPr>
          <w:b/>
        </w:rPr>
      </w:pPr>
      <w:r w:rsidRPr="00707602">
        <w:rPr>
          <w:b/>
        </w:rPr>
        <w:t>To help you un</w:t>
      </w:r>
      <w:r w:rsidRPr="00707602" w:rsidR="00192757">
        <w:rPr>
          <w:b/>
        </w:rPr>
        <w:t>derstand the personnel for each orchestra, th</w:t>
      </w:r>
      <w:r w:rsidRPr="00707602" w:rsidR="00707602">
        <w:rPr>
          <w:b/>
        </w:rPr>
        <w:t>is is how the new ensembles</w:t>
      </w:r>
      <w:r w:rsidRPr="00707602" w:rsidR="00192757">
        <w:rPr>
          <w:b/>
        </w:rPr>
        <w:t xml:space="preserve"> compare to the current ensembles. </w:t>
      </w:r>
    </w:p>
    <w:p w:rsidR="00486F3D" w:rsidRDefault="00486F3D" w14:paraId="7158FC6B" w14:textId="201CCDA1">
      <w:r>
        <w:t>CUO</w:t>
      </w:r>
      <w:r w:rsidR="00192757">
        <w:t xml:space="preserve"> (Chamber) - CUCO players </w:t>
      </w:r>
    </w:p>
    <w:p w:rsidR="00486F3D" w:rsidRDefault="00192757" w14:paraId="7DD897B1" w14:textId="69527A8F">
      <w:r>
        <w:t>CUO (Symphony) – CUCO and members of CUMS SO (like the January concert).</w:t>
      </w:r>
    </w:p>
    <w:p w:rsidR="00192757" w:rsidRDefault="00192757" w14:paraId="110C3C6C" w14:textId="7EC64964">
      <w:r>
        <w:t>CUS (October and June concerts) – CUMS SO players</w:t>
      </w:r>
    </w:p>
    <w:p w:rsidR="00192757" w:rsidRDefault="00192757" w14:paraId="75CAC3CB" w14:textId="6A42024E">
      <w:r>
        <w:t>CUS (Nov/Dec &amp; Feb/Mar) – CUMS SO/CUMS CO players</w:t>
      </w:r>
    </w:p>
    <w:p w:rsidR="00486F3D" w:rsidRDefault="00486F3D" w14:paraId="79406732" w14:textId="77777777"/>
    <w:p w:rsidRPr="00707602" w:rsidR="00BA4070" w:rsidRDefault="000E299D" w14:paraId="4F82222D" w14:textId="30745505">
      <w:pPr>
        <w:rPr>
          <w:b/>
        </w:rPr>
      </w:pPr>
      <w:r w:rsidRPr="00707602">
        <w:rPr>
          <w:b/>
        </w:rPr>
        <w:t>Cambri</w:t>
      </w:r>
      <w:r w:rsidRPr="00707602" w:rsidR="00192757">
        <w:rPr>
          <w:b/>
        </w:rPr>
        <w:t>dge University Orchestra</w:t>
      </w:r>
      <w:r w:rsidRPr="00707602" w:rsidR="00CC72BF">
        <w:rPr>
          <w:b/>
        </w:rPr>
        <w:t xml:space="preserve"> (CUO) </w:t>
      </w:r>
    </w:p>
    <w:p w:rsidR="00BA4070" w:rsidP="00BA4070" w:rsidRDefault="00BA4070" w14:paraId="4E65FF26" w14:textId="77777777">
      <w:pPr>
        <w:pStyle w:val="ListParagraph"/>
        <w:numPr>
          <w:ilvl w:val="0"/>
          <w:numId w:val="1"/>
        </w:numPr>
      </w:pPr>
      <w:r>
        <w:t>Work with major conductors</w:t>
      </w:r>
    </w:p>
    <w:p w:rsidR="00BA4070" w:rsidP="00BA4070" w:rsidRDefault="00BA4070" w14:paraId="39FA36BD" w14:textId="77777777">
      <w:pPr>
        <w:pStyle w:val="ListParagraph"/>
        <w:numPr>
          <w:ilvl w:val="0"/>
          <w:numId w:val="1"/>
        </w:numPr>
      </w:pPr>
      <w:r>
        <w:t>Work as a smaller chamber orchestra or as a larger symphony orchestra depending on guest conductor</w:t>
      </w:r>
      <w:r w:rsidR="0068387E">
        <w:t>’s choice of</w:t>
      </w:r>
      <w:r>
        <w:t xml:space="preserve"> repertoire</w:t>
      </w:r>
    </w:p>
    <w:p w:rsidR="00192757" w:rsidP="00BA4070" w:rsidRDefault="00707602" w14:paraId="75738DBA" w14:textId="1FE6DA30">
      <w:pPr>
        <w:pStyle w:val="ListParagraph"/>
        <w:numPr>
          <w:ilvl w:val="0"/>
          <w:numId w:val="1"/>
        </w:numPr>
      </w:pPr>
      <w:r>
        <w:t>Work on more challenging s</w:t>
      </w:r>
      <w:r w:rsidR="00192757">
        <w:t>ymphonic repertoire</w:t>
      </w:r>
    </w:p>
    <w:p w:rsidR="00BA4070" w:rsidP="00BA4070" w:rsidRDefault="00CC72BF" w14:paraId="4F12B3A5" w14:textId="474EA9A5">
      <w:pPr>
        <w:pStyle w:val="ListParagraph"/>
        <w:numPr>
          <w:ilvl w:val="0"/>
          <w:numId w:val="1"/>
        </w:numPr>
      </w:pPr>
      <w:r>
        <w:t>In the Example Schedule above, CUO</w:t>
      </w:r>
      <w:r w:rsidR="00BA4070">
        <w:t xml:space="preserve"> would give three symphonic concerts, two smaller chamber orchestra programmes, and the King’s Foundation Concert</w:t>
      </w:r>
    </w:p>
    <w:p w:rsidR="00BA4070" w:rsidP="00BA4070" w:rsidRDefault="00BA4070" w14:paraId="1B82A99E" w14:textId="77777777">
      <w:pPr>
        <w:pStyle w:val="ListParagraph"/>
        <w:numPr>
          <w:ilvl w:val="0"/>
          <w:numId w:val="1"/>
        </w:numPr>
      </w:pPr>
      <w:r>
        <w:t xml:space="preserve">Intensive period of rehearsals in the week leading up to </w:t>
      </w:r>
      <w:r w:rsidR="0068387E">
        <w:t>each</w:t>
      </w:r>
      <w:r>
        <w:t xml:space="preserve"> concert </w:t>
      </w:r>
    </w:p>
    <w:p w:rsidR="00EC5EBF" w:rsidRDefault="00EC5EBF" w14:paraId="7EB1E2B8" w14:textId="77777777"/>
    <w:p w:rsidRPr="00707602" w:rsidR="000E299D" w:rsidP="000E299D" w:rsidRDefault="00192757" w14:paraId="0953A243" w14:noSpellErr="1" w14:textId="07E89038">
      <w:pPr>
        <w:rPr>
          <w:b/>
        </w:rPr>
      </w:pPr>
      <w:r w:rsidRPr="4FA9E593" w:rsidR="4FA9E593">
        <w:rPr>
          <w:b w:val="1"/>
          <w:bCs w:val="1"/>
        </w:rPr>
        <w:t>C</w:t>
      </w:r>
      <w:r w:rsidRPr="4FA9E593" w:rsidR="4FA9E593">
        <w:rPr>
          <w:b w:val="1"/>
          <w:bCs w:val="1"/>
        </w:rPr>
        <w:t>ambridge</w:t>
      </w:r>
      <w:r w:rsidRPr="4FA9E593" w:rsidR="4FA9E593">
        <w:rPr>
          <w:b w:val="1"/>
          <w:bCs w:val="1"/>
        </w:rPr>
        <w:t xml:space="preserve"> University Sinfonia</w:t>
      </w:r>
      <w:r w:rsidRPr="4FA9E593" w:rsidR="4FA9E593">
        <w:rPr>
          <w:b w:val="1"/>
          <w:bCs w:val="1"/>
        </w:rPr>
        <w:t xml:space="preserve"> (CUS)</w:t>
      </w:r>
    </w:p>
    <w:p w:rsidR="00BA4070" w:rsidP="000E299D" w:rsidRDefault="00BA4070" w14:paraId="688489BA" w14:textId="77777777">
      <w:pPr>
        <w:pStyle w:val="ListParagraph"/>
        <w:numPr>
          <w:ilvl w:val="0"/>
          <w:numId w:val="5"/>
        </w:numPr>
      </w:pPr>
      <w:r>
        <w:t>Work with student and young</w:t>
      </w:r>
      <w:r w:rsidR="00173E74">
        <w:t>er</w:t>
      </w:r>
      <w:r>
        <w:t xml:space="preserve"> guest conductors</w:t>
      </w:r>
    </w:p>
    <w:p w:rsidR="00BA4070" w:rsidP="00BA4070" w:rsidRDefault="00BA4070" w14:paraId="3FA496E9" w14:textId="77777777">
      <w:pPr>
        <w:pStyle w:val="ListParagraph"/>
        <w:numPr>
          <w:ilvl w:val="0"/>
          <w:numId w:val="2"/>
        </w:numPr>
      </w:pPr>
      <w:r>
        <w:t>Work exclusively as a symphony orchestra</w:t>
      </w:r>
    </w:p>
    <w:p w:rsidR="00BA4070" w:rsidP="00BA4070" w:rsidRDefault="00707602" w14:paraId="283E4987" w14:textId="7DF2477A">
      <w:pPr>
        <w:pStyle w:val="ListParagraph"/>
        <w:numPr>
          <w:ilvl w:val="0"/>
          <w:numId w:val="2"/>
        </w:numPr>
      </w:pPr>
      <w:r>
        <w:t>In the Example Schedule above, CUS</w:t>
      </w:r>
      <w:r w:rsidR="00BA4070">
        <w:t xml:space="preserve"> would give four concerts </w:t>
      </w:r>
      <w:r w:rsidR="009311A6">
        <w:t xml:space="preserve">– with two projects conducted by students, and </w:t>
      </w:r>
      <w:r>
        <w:t>two by young guest conductors -</w:t>
      </w:r>
      <w:r w:rsidR="009311A6">
        <w:t xml:space="preserve"> </w:t>
      </w:r>
      <w:r w:rsidR="00BA4070">
        <w:t>and the May Week concert</w:t>
      </w:r>
      <w:r w:rsidR="009311A6">
        <w:t xml:space="preserve"> most probably conducted by the chorus conductor (or guest)</w:t>
      </w:r>
    </w:p>
    <w:p w:rsidR="00486F3D" w:rsidP="00707602" w:rsidRDefault="00BA4070" w14:paraId="45322756" w14:textId="4FBDB104">
      <w:pPr>
        <w:pStyle w:val="ListParagraph"/>
        <w:numPr>
          <w:ilvl w:val="0"/>
          <w:numId w:val="2"/>
        </w:numPr>
      </w:pPr>
      <w:r>
        <w:t xml:space="preserve">Where possible, </w:t>
      </w:r>
      <w:r w:rsidR="00723E3D">
        <w:t>have weekly rehearsals. In practice (according to the example below), preparation for two concerts would involve an intensive week of rehearsals</w:t>
      </w:r>
      <w:r w:rsidR="009311A6">
        <w:t xml:space="preserve"> (beg</w:t>
      </w:r>
      <w:r w:rsidR="0068387E">
        <w:t>inning of Michaelmas and May Week)</w:t>
      </w:r>
      <w:r w:rsidR="00723E3D">
        <w:t>, while the</w:t>
      </w:r>
      <w:r w:rsidR="0068387E">
        <w:t xml:space="preserve">re is enough time to prepare for the other two projects with </w:t>
      </w:r>
      <w:r w:rsidR="00723E3D">
        <w:t>weekly rehearsals</w:t>
      </w:r>
    </w:p>
    <w:p w:rsidR="00486F3D" w:rsidRDefault="00486F3D" w14:paraId="301BE83B" w14:textId="77777777"/>
    <w:p w:rsidR="00707602" w:rsidP="4FA9E593" w:rsidRDefault="00707602" w14:paraId="01399E51" w14:noSpellErr="1" w14:textId="7402EAAD">
      <w:pPr>
        <w:pStyle w:val="Normal"/>
        <w:rPr>
          <w:b/>
        </w:rPr>
      </w:pPr>
    </w:p>
    <w:p w:rsidR="4FA9E593" w:rsidP="4FA9E593" w:rsidRDefault="4FA9E593" w14:noSpellErr="1" w14:paraId="7B742D30" w14:textId="0BAC862B">
      <w:pPr>
        <w:pStyle w:val="Normal"/>
      </w:pPr>
    </w:p>
    <w:p w:rsidR="4FA9E593" w:rsidP="4FA9E593" w:rsidRDefault="4FA9E593" w14:noSpellErr="1" w14:paraId="713AF7F6" w14:textId="5AC28C29">
      <w:pPr>
        <w:pStyle w:val="Normal"/>
      </w:pPr>
    </w:p>
    <w:p w:rsidR="4FA9E593" w:rsidP="4FA9E593" w:rsidRDefault="4FA9E593" w14:noSpellErr="1" w14:paraId="7CADA065" w14:textId="3C130085">
      <w:pPr>
        <w:pStyle w:val="Normal"/>
      </w:pPr>
    </w:p>
    <w:p w:rsidR="4FA9E593" w:rsidP="4FA9E593" w:rsidRDefault="4FA9E593" w14:noSpellErr="1" w14:paraId="3AD88E70" w14:textId="5ACCC4CF">
      <w:pPr>
        <w:pStyle w:val="Normal"/>
      </w:pPr>
    </w:p>
    <w:p w:rsidR="4FA9E593" w:rsidP="4FA9E593" w:rsidRDefault="4FA9E593" w14:noSpellErr="1" w14:paraId="775215E8" w14:textId="41A270DB">
      <w:pPr>
        <w:pStyle w:val="Normal"/>
      </w:pPr>
    </w:p>
    <w:p w:rsidR="4FA9E593" w:rsidRDefault="4FA9E593" w14:noSpellErr="1" w14:paraId="5AEBBE3D" w14:textId="7DAEFB3C"/>
    <w:p w:rsidR="4FA9E593" w:rsidRDefault="4FA9E593" w14:noSpellErr="1" w14:paraId="55271C47" w14:textId="561277D8"/>
    <w:p w:rsidR="4FA9E593" w:rsidRDefault="4FA9E593" w14:noSpellErr="1" w14:paraId="6A2F553C" w14:textId="65CAF8B2"/>
    <w:p w:rsidR="4FA9E593" w:rsidRDefault="4FA9E593" w14:noSpellErr="1" w14:paraId="6B6E9C64" w14:textId="549AB52C"/>
    <w:p w:rsidRPr="00723E3D" w:rsidR="00E9536A" w:rsidRDefault="00BA4070" w14:paraId="158EDB29" w14:textId="744B5310">
      <w:pPr>
        <w:rPr>
          <w:b/>
        </w:rPr>
      </w:pPr>
      <w:r w:rsidRPr="00723E3D">
        <w:rPr>
          <w:b/>
        </w:rPr>
        <w:t>Orchestra sizes</w:t>
      </w:r>
    </w:p>
    <w:p w:rsidR="00BA4070" w:rsidRDefault="00BA4070" w14:paraId="247A6E7E" w14:textId="77777777"/>
    <w:p w:rsidRPr="00707602" w:rsidR="00173E74" w:rsidRDefault="00CC72BF" w14:paraId="07ED8CE7" w14:textId="343B3571">
      <w:pPr>
        <w:rPr>
          <w:b/>
        </w:rPr>
      </w:pPr>
      <w:r w:rsidRPr="00707602">
        <w:rPr>
          <w:b/>
        </w:rPr>
        <w:t>Cambridge University Orchestra</w:t>
      </w:r>
      <w:r w:rsidRPr="00707602" w:rsidR="008B710C">
        <w:rPr>
          <w:b/>
        </w:rPr>
        <w:t>: 3333—4</w:t>
      </w:r>
      <w:r w:rsidRPr="00707602" w:rsidR="00723E3D">
        <w:rPr>
          <w:b/>
        </w:rPr>
        <w:t>3</w:t>
      </w:r>
      <w:r w:rsidRPr="00707602">
        <w:rPr>
          <w:b/>
        </w:rPr>
        <w:t>3</w:t>
      </w:r>
      <w:r w:rsidRPr="00707602" w:rsidR="00723E3D">
        <w:rPr>
          <w:b/>
        </w:rPr>
        <w:t>1—</w:t>
      </w:r>
      <w:proofErr w:type="spellStart"/>
      <w:r w:rsidRPr="00707602" w:rsidR="00723E3D">
        <w:rPr>
          <w:b/>
        </w:rPr>
        <w:t>timp</w:t>
      </w:r>
      <w:proofErr w:type="spellEnd"/>
      <w:r w:rsidRPr="00707602" w:rsidR="00723E3D">
        <w:rPr>
          <w:b/>
        </w:rPr>
        <w:t xml:space="preserve">/perc—strings </w:t>
      </w:r>
    </w:p>
    <w:p w:rsidRPr="00707602" w:rsidR="00372C60" w:rsidRDefault="00372C60" w14:paraId="3F432514" w14:textId="03BBA3E9">
      <w:r w:rsidRPr="00707602">
        <w:t>String strength</w:t>
      </w:r>
      <w:r w:rsidRPr="00707602" w:rsidR="00173E74">
        <w:t>:</w:t>
      </w:r>
      <w:r w:rsidRPr="00707602">
        <w:tab/>
      </w:r>
      <w:r w:rsidRPr="00707602">
        <w:tab/>
      </w:r>
      <w:r w:rsidRPr="00707602" w:rsidR="00CC72BF">
        <w:t>8.6.4</w:t>
      </w:r>
      <w:r w:rsidRPr="00707602" w:rsidR="008B710C">
        <w:t>.4</w:t>
      </w:r>
      <w:r w:rsidRPr="00707602">
        <w:t>.2 (chamber)</w:t>
      </w:r>
      <w:r w:rsidRPr="00707602" w:rsidR="00907DAB">
        <w:t xml:space="preserve"> </w:t>
      </w:r>
    </w:p>
    <w:p w:rsidRPr="00707602" w:rsidR="00372C60" w:rsidRDefault="00372C60" w14:paraId="0DF23BB9" w14:textId="77777777">
      <w:r w:rsidRPr="00707602">
        <w:tab/>
      </w:r>
      <w:r w:rsidRPr="00707602">
        <w:tab/>
      </w:r>
      <w:r w:rsidRPr="00707602">
        <w:tab/>
      </w:r>
      <w:r w:rsidRPr="00707602">
        <w:t>14.12.10.8.4 (</w:t>
      </w:r>
      <w:proofErr w:type="gramStart"/>
      <w:r w:rsidRPr="00707602">
        <w:t>symphony</w:t>
      </w:r>
      <w:proofErr w:type="gramEnd"/>
      <w:r w:rsidRPr="00707602">
        <w:t>)</w:t>
      </w:r>
    </w:p>
    <w:p w:rsidRPr="00707602" w:rsidR="008B710C" w:rsidRDefault="00CC72BF" w14:paraId="1929173B" w14:textId="4629FC72">
      <w:r w:rsidRPr="00707602">
        <w:t xml:space="preserve">Lower brass </w:t>
      </w:r>
      <w:r w:rsidRPr="00707602" w:rsidR="00486F3D">
        <w:t xml:space="preserve">and some wind players will </w:t>
      </w:r>
      <w:r w:rsidRPr="00707602">
        <w:t>not</w:t>
      </w:r>
      <w:r w:rsidRPr="00707602" w:rsidR="00486F3D">
        <w:t xml:space="preserve"> play in CUO c</w:t>
      </w:r>
      <w:r w:rsidRPr="00707602">
        <w:t>hamber concerts</w:t>
      </w:r>
      <w:r w:rsidRPr="00707602" w:rsidR="00486F3D">
        <w:t xml:space="preserve"> as </w:t>
      </w:r>
      <w:proofErr w:type="spellStart"/>
      <w:r w:rsidRPr="00707602" w:rsidR="00486F3D">
        <w:t>they</w:t>
      </w:r>
      <w:proofErr w:type="spellEnd"/>
      <w:r w:rsidRPr="00707602" w:rsidR="00486F3D">
        <w:t xml:space="preserve"> will be playing symphonic repertoire in </w:t>
      </w:r>
      <w:proofErr w:type="gramStart"/>
      <w:r w:rsidRPr="00707602" w:rsidR="00486F3D">
        <w:t>CUS .</w:t>
      </w:r>
      <w:proofErr w:type="gramEnd"/>
      <w:r w:rsidRPr="00707602" w:rsidR="00486F3D">
        <w:t xml:space="preserve"> </w:t>
      </w:r>
    </w:p>
    <w:p w:rsidRPr="00707602" w:rsidR="00CC72BF" w:rsidRDefault="00CC72BF" w14:paraId="508BD7AB" w14:textId="77777777"/>
    <w:p w:rsidRPr="00707602" w:rsidR="00173E74" w:rsidRDefault="00CC72BF" w14:paraId="586CE562" w14:textId="19FC8F13">
      <w:pPr>
        <w:rPr>
          <w:b/>
        </w:rPr>
      </w:pPr>
      <w:r w:rsidRPr="00707602">
        <w:rPr>
          <w:b/>
        </w:rPr>
        <w:t>Cambridge University Sinfonia</w:t>
      </w:r>
      <w:r w:rsidRPr="00707602" w:rsidR="00723E3D">
        <w:rPr>
          <w:b/>
        </w:rPr>
        <w:t>:</w:t>
      </w:r>
      <w:r w:rsidRPr="00707602" w:rsidR="00173E74">
        <w:rPr>
          <w:b/>
        </w:rPr>
        <w:t xml:space="preserve"> 3333—</w:t>
      </w:r>
      <w:r w:rsidRPr="00707602" w:rsidR="008B710C">
        <w:rPr>
          <w:b/>
        </w:rPr>
        <w:t>43</w:t>
      </w:r>
      <w:r w:rsidRPr="00707602">
        <w:rPr>
          <w:b/>
        </w:rPr>
        <w:t>3</w:t>
      </w:r>
      <w:r w:rsidRPr="00707602" w:rsidR="008B710C">
        <w:rPr>
          <w:b/>
        </w:rPr>
        <w:t>1</w:t>
      </w:r>
      <w:r w:rsidRPr="00707602" w:rsidR="00173E74">
        <w:rPr>
          <w:b/>
        </w:rPr>
        <w:t>—</w:t>
      </w:r>
      <w:proofErr w:type="spellStart"/>
      <w:r w:rsidRPr="00707602" w:rsidR="00173E74">
        <w:rPr>
          <w:b/>
        </w:rPr>
        <w:t>timp</w:t>
      </w:r>
      <w:proofErr w:type="spellEnd"/>
      <w:r w:rsidRPr="00707602" w:rsidR="00173E74">
        <w:rPr>
          <w:b/>
        </w:rPr>
        <w:t>/perc—strings</w:t>
      </w:r>
      <w:r w:rsidRPr="00707602" w:rsidR="00907DAB">
        <w:rPr>
          <w:b/>
        </w:rPr>
        <w:t xml:space="preserve"> </w:t>
      </w:r>
      <w:r w:rsidRPr="00707602" w:rsidR="002451A3">
        <w:rPr>
          <w:b/>
        </w:rPr>
        <w:t xml:space="preserve"> </w:t>
      </w:r>
    </w:p>
    <w:p w:rsidRPr="00707602" w:rsidR="00723E3D" w:rsidRDefault="00173E74" w14:paraId="64A8CE38" w14:textId="77777777">
      <w:r w:rsidRPr="00707602">
        <w:t xml:space="preserve">String strength: </w:t>
      </w:r>
      <w:r w:rsidRPr="00707602" w:rsidR="00372C60">
        <w:tab/>
      </w:r>
      <w:r w:rsidRPr="00707602" w:rsidR="00372C60">
        <w:tab/>
      </w:r>
      <w:r w:rsidRPr="00707602">
        <w:t>12.10.8.6.4</w:t>
      </w:r>
    </w:p>
    <w:p w:rsidRPr="00707602" w:rsidR="00C21F73" w:rsidP="00192757" w:rsidRDefault="00C21F73" w14:paraId="343145C5" w14:textId="698248A6"/>
    <w:p w:rsidRPr="00707602" w:rsidR="00372C60" w:rsidRDefault="00372C60" w14:paraId="7AAACE6A" w14:textId="53C669B8"/>
    <w:sectPr w:rsidRPr="00707602" w:rsidR="00372C60" w:rsidSect="008B710C">
      <w:pgSz w:w="11906" w:h="16838" w:orient="portrait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70E0A"/>
    <w:multiLevelType w:val="hybridMultilevel"/>
    <w:tmpl w:val="ABA8C7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26A259D1"/>
    <w:multiLevelType w:val="hybridMultilevel"/>
    <w:tmpl w:val="D26C246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29D7521B"/>
    <w:multiLevelType w:val="hybridMultilevel"/>
    <w:tmpl w:val="1CC4F1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66801"/>
    <w:multiLevelType w:val="hybridMultilevel"/>
    <w:tmpl w:val="6270D64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392336CA"/>
    <w:multiLevelType w:val="hybridMultilevel"/>
    <w:tmpl w:val="DF461B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496D2944"/>
    <w:multiLevelType w:val="hybridMultilevel"/>
    <w:tmpl w:val="85D4985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A521D84"/>
    <w:multiLevelType w:val="hybridMultilevel"/>
    <w:tmpl w:val="CE5A0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9B7CC1"/>
    <w:multiLevelType w:val="hybridMultilevel"/>
    <w:tmpl w:val="B6F098A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AD"/>
    <w:rsid w:val="000064D4"/>
    <w:rsid w:val="0003539E"/>
    <w:rsid w:val="00067F26"/>
    <w:rsid w:val="000958FD"/>
    <w:rsid w:val="000E299D"/>
    <w:rsid w:val="0010525B"/>
    <w:rsid w:val="00145734"/>
    <w:rsid w:val="00163749"/>
    <w:rsid w:val="00173E74"/>
    <w:rsid w:val="00174BF4"/>
    <w:rsid w:val="00192757"/>
    <w:rsid w:val="001D18A7"/>
    <w:rsid w:val="001F4DC6"/>
    <w:rsid w:val="002451A3"/>
    <w:rsid w:val="00306E63"/>
    <w:rsid w:val="0031302A"/>
    <w:rsid w:val="003137AC"/>
    <w:rsid w:val="003141F9"/>
    <w:rsid w:val="00317811"/>
    <w:rsid w:val="00372C60"/>
    <w:rsid w:val="003D3B9C"/>
    <w:rsid w:val="00403AEC"/>
    <w:rsid w:val="004168D8"/>
    <w:rsid w:val="00465D08"/>
    <w:rsid w:val="00486F3D"/>
    <w:rsid w:val="00574F12"/>
    <w:rsid w:val="005D728C"/>
    <w:rsid w:val="0060678A"/>
    <w:rsid w:val="0068387E"/>
    <w:rsid w:val="006F1568"/>
    <w:rsid w:val="00702713"/>
    <w:rsid w:val="00707602"/>
    <w:rsid w:val="00723E3D"/>
    <w:rsid w:val="0085088F"/>
    <w:rsid w:val="00861981"/>
    <w:rsid w:val="008A19BD"/>
    <w:rsid w:val="008B710C"/>
    <w:rsid w:val="008C12AD"/>
    <w:rsid w:val="00907DAB"/>
    <w:rsid w:val="009160A6"/>
    <w:rsid w:val="009311A6"/>
    <w:rsid w:val="009E2717"/>
    <w:rsid w:val="00A56B20"/>
    <w:rsid w:val="00A866EE"/>
    <w:rsid w:val="00B421A1"/>
    <w:rsid w:val="00B570A8"/>
    <w:rsid w:val="00B67760"/>
    <w:rsid w:val="00BA4070"/>
    <w:rsid w:val="00BA7E90"/>
    <w:rsid w:val="00BF299A"/>
    <w:rsid w:val="00C21F73"/>
    <w:rsid w:val="00C6379D"/>
    <w:rsid w:val="00CC72BF"/>
    <w:rsid w:val="00CE7385"/>
    <w:rsid w:val="00D72CDB"/>
    <w:rsid w:val="00D84DB4"/>
    <w:rsid w:val="00E4384D"/>
    <w:rsid w:val="00E4566A"/>
    <w:rsid w:val="00E85071"/>
    <w:rsid w:val="00E9536A"/>
    <w:rsid w:val="00EC5EBF"/>
    <w:rsid w:val="00F13079"/>
    <w:rsid w:val="00F67200"/>
    <w:rsid w:val="00FF1C42"/>
    <w:rsid w:val="4FA9E593"/>
    <w:rsid w:val="64CC9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D8373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6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36A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E95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0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5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3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40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Justin</dc:creator>
  <lastModifiedBy>Helen McKeown</lastModifiedBy>
  <revision>6</revision>
  <dcterms:created xsi:type="dcterms:W3CDTF">2016-12-06T11:59:00.0000000Z</dcterms:created>
  <dcterms:modified xsi:type="dcterms:W3CDTF">2016-12-06T16:01:24.9215916Z</dcterms:modified>
</coreProperties>
</file>